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B8" w:rsidRDefault="003F0EB8" w:rsidP="00E607E4">
      <w:pPr>
        <w:pStyle w:val="Header"/>
      </w:pPr>
    </w:p>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AC3946" w:rsidRDefault="009B146F" w:rsidP="000E6931">
            <w:r w:rsidRPr="00AC3946">
              <w:rPr>
                <w:rStyle w:val="Firstpagetablebold"/>
                <w:color w:val="auto"/>
              </w:rPr>
              <w:t>25 July 2016</w:t>
            </w:r>
            <w:r w:rsidR="0041097C" w:rsidRPr="00AC3946">
              <w:rPr>
                <w:rStyle w:val="Firstpagetablebold"/>
                <w:color w:val="auto"/>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AC3946" w:rsidP="00AC3946">
            <w:pPr>
              <w:rPr>
                <w:rStyle w:val="Firstpagetablebold"/>
              </w:rPr>
            </w:pPr>
            <w:r>
              <w:rPr>
                <w:rStyle w:val="Firstpagetablebold"/>
              </w:rPr>
              <w:t xml:space="preserve">Part 1 </w:t>
            </w:r>
            <w:r w:rsidR="002762C1" w:rsidRPr="00754013">
              <w:rPr>
                <w:rStyle w:val="Firstpagetablebold"/>
              </w:rPr>
              <w:t>Public addresses and questions that relate to matters for decision</w:t>
            </w:r>
            <w:r w:rsidR="00FA4AA8" w:rsidRPr="00754013">
              <w:rPr>
                <w:rStyle w:val="Firstpagetablebold"/>
              </w:rPr>
              <w:t xml:space="preserve"> – as </w:t>
            </w:r>
            <w:r w:rsidR="000E6931">
              <w:rPr>
                <w:rStyle w:val="Firstpagetablebold"/>
              </w:rPr>
              <w:t>submitted by the speakers and with written responses</w:t>
            </w:r>
          </w:p>
        </w:tc>
      </w:tr>
    </w:tbl>
    <w:p w:rsidR="00FA4AA8" w:rsidRPr="00D4626B" w:rsidRDefault="00FA4AA8" w:rsidP="00D4626B">
      <w:pPr>
        <w:spacing w:before="240"/>
        <w:rPr>
          <w:b/>
        </w:rPr>
      </w:pPr>
      <w:r w:rsidRPr="00D4626B">
        <w:rPr>
          <w:b/>
        </w:rPr>
        <w:t>Introduction</w:t>
      </w:r>
    </w:p>
    <w:p w:rsidR="00FA4AA8" w:rsidRDefault="00FA4AA8" w:rsidP="00954A84">
      <w:pPr>
        <w:pStyle w:val="bParagraphtext"/>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9B146F" w:rsidRDefault="009B146F" w:rsidP="008F733C">
      <w:pPr>
        <w:pStyle w:val="Heading1"/>
        <w:shd w:val="clear" w:color="auto" w:fill="C6D9F1"/>
        <w:rPr>
          <w:rFonts w:eastAsia="Calibri"/>
          <w:color w:val="auto"/>
          <w:szCs w:val="22"/>
          <w:lang w:eastAsia="en-US"/>
        </w:rPr>
      </w:pPr>
    </w:p>
    <w:p w:rsidR="00E607E4" w:rsidRPr="00E607E4" w:rsidRDefault="00E607E4" w:rsidP="00E607E4">
      <w:pPr>
        <w:pStyle w:val="Heading1"/>
        <w:shd w:val="clear" w:color="auto" w:fill="C6D9F1"/>
        <w:rPr>
          <w:sz w:val="28"/>
        </w:rPr>
      </w:pPr>
      <w:bookmarkStart w:id="0" w:name="_Toc456881100"/>
      <w:r>
        <w:rPr>
          <w:sz w:val="28"/>
        </w:rPr>
        <w:t>Questio</w:t>
      </w:r>
      <w:r w:rsidR="00AC3946">
        <w:rPr>
          <w:sz w:val="28"/>
        </w:rPr>
        <w:t>n to be taken in P</w:t>
      </w:r>
      <w:r>
        <w:rPr>
          <w:sz w:val="28"/>
        </w:rPr>
        <w:t>art 1</w:t>
      </w:r>
      <w:bookmarkEnd w:id="0"/>
      <w:r w:rsidR="00AC3946">
        <w:rPr>
          <w:sz w:val="28"/>
        </w:rPr>
        <w:t xml:space="preserve"> of the agenda</w:t>
      </w:r>
    </w:p>
    <w:p w:rsidR="00E607E4" w:rsidRPr="00E607E4" w:rsidRDefault="00E607E4" w:rsidP="00E607E4">
      <w:pPr>
        <w:pStyle w:val="Heading1"/>
        <w:numPr>
          <w:ilvl w:val="0"/>
          <w:numId w:val="6"/>
        </w:numPr>
        <w:ind w:left="426"/>
      </w:pPr>
      <w:bookmarkStart w:id="1" w:name="_Toc456881101"/>
      <w:r>
        <w:t xml:space="preserve">Question from Judith </w:t>
      </w:r>
      <w:proofErr w:type="gramStart"/>
      <w:r>
        <w:t>Harley  -</w:t>
      </w:r>
      <w:proofErr w:type="gramEnd"/>
      <w:r>
        <w:t xml:space="preserve"> </w:t>
      </w:r>
      <w:r w:rsidRPr="00E607E4">
        <w:rPr>
          <w:rFonts w:eastAsia="Calibri"/>
          <w:lang w:eastAsia="en-US"/>
        </w:rPr>
        <w:t xml:space="preserve">Agenda Item 7 – </w:t>
      </w:r>
      <w:proofErr w:type="spellStart"/>
      <w:r w:rsidRPr="00E607E4">
        <w:rPr>
          <w:rFonts w:eastAsia="Calibri"/>
          <w:lang w:eastAsia="en-US"/>
        </w:rPr>
        <w:t>Cowley</w:t>
      </w:r>
      <w:proofErr w:type="spellEnd"/>
      <w:r w:rsidRPr="00E607E4">
        <w:rPr>
          <w:rFonts w:eastAsia="Calibri"/>
          <w:lang w:eastAsia="en-US"/>
        </w:rPr>
        <w:t xml:space="preserve"> Marsh Recreation Ground Car Park Extension</w:t>
      </w:r>
      <w:bookmarkEnd w:id="1"/>
      <w:r w:rsidRPr="00E607E4">
        <w:rPr>
          <w:rFonts w:eastAsia="Calibri"/>
          <w:lang w:eastAsia="en-US"/>
        </w:rPr>
        <w:t xml:space="preserve"> </w:t>
      </w:r>
    </w:p>
    <w:p w:rsidR="00E607E4" w:rsidRPr="00E607E4" w:rsidRDefault="00E607E4" w:rsidP="00E607E4">
      <w:pPr>
        <w:rPr>
          <w:rFonts w:eastAsia="Calibri"/>
          <w:lang w:eastAsia="en-US"/>
        </w:rPr>
      </w:pPr>
      <w:r w:rsidRPr="00E607E4">
        <w:rPr>
          <w:rFonts w:eastAsia="Calibri"/>
          <w:lang w:eastAsia="en-US"/>
        </w:rPr>
        <w:t>Lord Mayor, Councillors,</w:t>
      </w:r>
    </w:p>
    <w:p w:rsidR="00E607E4" w:rsidRPr="00E607E4" w:rsidRDefault="00E607E4" w:rsidP="00E607E4">
      <w:pPr>
        <w:rPr>
          <w:rFonts w:eastAsia="Calibri"/>
          <w:lang w:eastAsia="en-US"/>
        </w:rPr>
      </w:pPr>
      <w:r w:rsidRPr="00E607E4">
        <w:rPr>
          <w:rFonts w:eastAsia="Calibri"/>
          <w:lang w:eastAsia="en-US"/>
        </w:rPr>
        <w:t xml:space="preserve">Item 7 on tonight’s agenda, Integrated Performance </w:t>
      </w:r>
      <w:r>
        <w:rPr>
          <w:rFonts w:eastAsia="Calibri"/>
          <w:lang w:eastAsia="en-US"/>
        </w:rPr>
        <w:t>Report, contains the following:</w:t>
      </w:r>
    </w:p>
    <w:p w:rsidR="00E607E4" w:rsidRPr="00E607E4" w:rsidRDefault="00E607E4" w:rsidP="00E607E4">
      <w:pPr>
        <w:rPr>
          <w:rFonts w:eastAsia="Calibri"/>
          <w:lang w:eastAsia="en-US"/>
        </w:rPr>
      </w:pPr>
      <w:r w:rsidRPr="00E607E4">
        <w:rPr>
          <w:rFonts w:eastAsia="Calibri"/>
          <w:lang w:eastAsia="en-US"/>
        </w:rPr>
        <w:t>“The City Executive Board recommends that Council establish budgetary provision in respect of the new bids show in paragraphs 7 and Appendix 4 of the officers’ report”</w:t>
      </w:r>
    </w:p>
    <w:p w:rsidR="00E607E4" w:rsidRPr="00E607E4" w:rsidRDefault="00E607E4" w:rsidP="00E607E4">
      <w:pPr>
        <w:rPr>
          <w:rFonts w:eastAsia="Calibri"/>
          <w:lang w:eastAsia="en-US"/>
        </w:rPr>
      </w:pPr>
      <w:r w:rsidRPr="00E607E4">
        <w:rPr>
          <w:rFonts w:eastAsia="Calibri"/>
          <w:lang w:eastAsia="en-US"/>
        </w:rPr>
        <w:t xml:space="preserve">On page 6 of Appendix 4, Carry Forward and New Bids, from Agenda Item 7, the Integrated Performance Report Q4 </w:t>
      </w:r>
      <w:r>
        <w:rPr>
          <w:rFonts w:eastAsia="Calibri"/>
          <w:lang w:eastAsia="en-US"/>
        </w:rPr>
        <w:t>2015/16, is the following item:</w:t>
      </w:r>
    </w:p>
    <w:p w:rsidR="00E607E4" w:rsidRPr="00E607E4" w:rsidRDefault="00E607E4" w:rsidP="00E607E4">
      <w:pPr>
        <w:rPr>
          <w:rFonts w:eastAsia="Calibri"/>
          <w:lang w:eastAsia="en-US"/>
        </w:rPr>
      </w:pPr>
      <w:proofErr w:type="spellStart"/>
      <w:r w:rsidRPr="00E607E4">
        <w:rPr>
          <w:rFonts w:eastAsia="Calibri"/>
          <w:lang w:eastAsia="en-US"/>
        </w:rPr>
        <w:t>Cowley</w:t>
      </w:r>
      <w:proofErr w:type="spellEnd"/>
      <w:r w:rsidRPr="00E607E4">
        <w:rPr>
          <w:rFonts w:eastAsia="Calibri"/>
          <w:lang w:eastAsia="en-US"/>
        </w:rPr>
        <w:t xml:space="preserve"> Marsh Recreation Ground car park extension</w:t>
      </w:r>
    </w:p>
    <w:p w:rsidR="00E607E4" w:rsidRPr="00E607E4" w:rsidRDefault="00E607E4" w:rsidP="00E607E4">
      <w:pPr>
        <w:rPr>
          <w:rFonts w:eastAsia="Calibri"/>
          <w:lang w:eastAsia="en-US"/>
        </w:rPr>
      </w:pPr>
      <w:r w:rsidRPr="00E607E4">
        <w:rPr>
          <w:rFonts w:eastAsia="Calibri"/>
          <w:lang w:eastAsia="en-US"/>
        </w:rPr>
        <w:t>New Scheme Request - £132,000</w:t>
      </w:r>
    </w:p>
    <w:p w:rsidR="00E607E4" w:rsidRPr="00E607E4" w:rsidRDefault="00E607E4" w:rsidP="00E607E4">
      <w:pPr>
        <w:rPr>
          <w:rFonts w:eastAsia="Calibri"/>
          <w:lang w:eastAsia="en-US"/>
        </w:rPr>
      </w:pPr>
      <w:r w:rsidRPr="00E607E4">
        <w:rPr>
          <w:rFonts w:eastAsia="Calibri"/>
          <w:lang w:eastAsia="en-US"/>
        </w:rPr>
        <w:t>Reason for Request – it is proposed that the adjacent Marsh Recreation Car Park be extended and refurbished to provide extra car parking space while some of the existing Depot staff parking is designated for fleet vehicle use.</w:t>
      </w:r>
    </w:p>
    <w:p w:rsidR="00E607E4" w:rsidRPr="00E607E4" w:rsidRDefault="00E607E4" w:rsidP="00E607E4">
      <w:pPr>
        <w:rPr>
          <w:rFonts w:eastAsia="Calibri"/>
          <w:lang w:eastAsia="en-US"/>
        </w:rPr>
      </w:pPr>
      <w:r w:rsidRPr="00E607E4">
        <w:rPr>
          <w:rFonts w:eastAsia="Calibri"/>
          <w:lang w:eastAsia="en-US"/>
        </w:rPr>
        <w:t>When this item was presented to the CEB on 16th June I asked a series of written questions</w:t>
      </w:r>
      <w:r>
        <w:rPr>
          <w:rFonts w:eastAsia="Calibri"/>
          <w:lang w:eastAsia="en-US"/>
        </w:rPr>
        <w:t xml:space="preserve"> about this request, including:</w:t>
      </w:r>
    </w:p>
    <w:p w:rsidR="00E607E4" w:rsidRPr="00E607E4" w:rsidRDefault="00E607E4" w:rsidP="00E607E4">
      <w:pPr>
        <w:rPr>
          <w:rFonts w:eastAsia="Calibri"/>
          <w:lang w:eastAsia="en-US"/>
        </w:rPr>
      </w:pPr>
      <w:r w:rsidRPr="00E607E4">
        <w:rPr>
          <w:rFonts w:eastAsia="Calibri"/>
          <w:lang w:eastAsia="en-US"/>
        </w:rPr>
        <w:t>•</w:t>
      </w:r>
      <w:r w:rsidRPr="00E607E4">
        <w:rPr>
          <w:rFonts w:eastAsia="Calibri"/>
          <w:lang w:eastAsia="en-US"/>
        </w:rPr>
        <w:tab/>
        <w:t xml:space="preserve">Where, exactly, is it envisaged that the Car Park will be extended? </w:t>
      </w:r>
      <w:proofErr w:type="gramStart"/>
      <w:r w:rsidRPr="00E607E4">
        <w:rPr>
          <w:rFonts w:eastAsia="Calibri"/>
          <w:lang w:eastAsia="en-US"/>
        </w:rPr>
        <w:t xml:space="preserve">Into </w:t>
      </w:r>
      <w:proofErr w:type="spellStart"/>
      <w:r w:rsidRPr="00E607E4">
        <w:rPr>
          <w:rFonts w:eastAsia="Calibri"/>
          <w:lang w:eastAsia="en-US"/>
        </w:rPr>
        <w:t>Cowley</w:t>
      </w:r>
      <w:proofErr w:type="spellEnd"/>
      <w:r w:rsidRPr="00E607E4">
        <w:rPr>
          <w:rFonts w:eastAsia="Calibri"/>
          <w:lang w:eastAsia="en-US"/>
        </w:rPr>
        <w:t xml:space="preserve"> Marsh Recreation Ground?</w:t>
      </w:r>
      <w:proofErr w:type="gramEnd"/>
      <w:r w:rsidRPr="00E607E4">
        <w:rPr>
          <w:rFonts w:eastAsia="Calibri"/>
          <w:lang w:eastAsia="en-US"/>
        </w:rPr>
        <w:t xml:space="preserve"> </w:t>
      </w:r>
      <w:proofErr w:type="gramStart"/>
      <w:r w:rsidRPr="00E607E4">
        <w:rPr>
          <w:rFonts w:eastAsia="Calibri"/>
          <w:lang w:eastAsia="en-US"/>
        </w:rPr>
        <w:t xml:space="preserve">Or on its present footprint in an </w:t>
      </w:r>
      <w:r>
        <w:rPr>
          <w:rFonts w:eastAsia="Calibri"/>
          <w:lang w:eastAsia="en-US"/>
        </w:rPr>
        <w:t>upwards or downwards direction?</w:t>
      </w:r>
      <w:proofErr w:type="gramEnd"/>
    </w:p>
    <w:p w:rsidR="00E607E4" w:rsidRPr="00E607E4" w:rsidRDefault="00E607E4" w:rsidP="00E607E4">
      <w:pPr>
        <w:rPr>
          <w:rFonts w:eastAsia="Calibri"/>
          <w:lang w:eastAsia="en-US"/>
        </w:rPr>
      </w:pPr>
      <w:proofErr w:type="gramStart"/>
      <w:r w:rsidRPr="00E607E4">
        <w:rPr>
          <w:rFonts w:eastAsia="Calibri"/>
          <w:lang w:eastAsia="en-US"/>
        </w:rPr>
        <w:t>and</w:t>
      </w:r>
      <w:proofErr w:type="gramEnd"/>
    </w:p>
    <w:p w:rsidR="00E607E4" w:rsidRPr="00E607E4" w:rsidRDefault="00E607E4" w:rsidP="00E607E4">
      <w:pPr>
        <w:rPr>
          <w:rFonts w:eastAsia="Calibri"/>
          <w:lang w:eastAsia="en-US"/>
        </w:rPr>
      </w:pPr>
      <w:r w:rsidRPr="00E607E4">
        <w:rPr>
          <w:rFonts w:eastAsia="Calibri"/>
          <w:lang w:eastAsia="en-US"/>
        </w:rPr>
        <w:lastRenderedPageBreak/>
        <w:t>•</w:t>
      </w:r>
      <w:r w:rsidRPr="00E607E4">
        <w:rPr>
          <w:rFonts w:eastAsia="Calibri"/>
          <w:lang w:eastAsia="en-US"/>
        </w:rPr>
        <w:tab/>
        <w:t xml:space="preserve">The Marsh Recreation Car Park is supposed to be a public car park, for the general public, not a private car park for Depot staff, which is what it actually seems to be. Last summer, planning application 15/01661/CT3 was submitted by the City Council for “Part change of use of recreation ground for external storage of stacked wheeled bins, creation of porous hardstanding, with ancillary fencing and landscaping to increase storage capacity for the Council Depot, for a temporary period of up to 5 years (Amended site plan) | Oxford City Council Depot Marsh Road Oxford Oxfordshire OX4 2HH”. Thanks to a concerted campaign by local residents objecting to this application because of its proposed encroachment into the Park, this application was eventually withdrawn. In the light of this, my third question is – why is this proposal, which presumably will also try to take part of the recreation ground, being made at all? This is effectively trying to achieve the same effect as withdrawn application 15/01661/CT3 by stealth. Any attempts to encroach onto any part of the </w:t>
      </w:r>
      <w:proofErr w:type="spellStart"/>
      <w:r w:rsidRPr="00E607E4">
        <w:rPr>
          <w:rFonts w:eastAsia="Calibri"/>
          <w:lang w:eastAsia="en-US"/>
        </w:rPr>
        <w:t>Cowley</w:t>
      </w:r>
      <w:proofErr w:type="spellEnd"/>
      <w:r w:rsidRPr="00E607E4">
        <w:rPr>
          <w:rFonts w:eastAsia="Calibri"/>
          <w:lang w:eastAsia="en-US"/>
        </w:rPr>
        <w:t xml:space="preserve"> Marsh Recreation Ground will be met with strong opposition from local residents</w:t>
      </w:r>
    </w:p>
    <w:p w:rsidR="00E607E4" w:rsidRPr="00E607E4" w:rsidRDefault="00E607E4" w:rsidP="00E607E4">
      <w:pPr>
        <w:rPr>
          <w:rFonts w:eastAsia="Calibri"/>
          <w:lang w:eastAsia="en-US"/>
        </w:rPr>
      </w:pPr>
      <w:r w:rsidRPr="00E607E4">
        <w:rPr>
          <w:rFonts w:eastAsia="Calibri"/>
          <w:lang w:eastAsia="en-US"/>
        </w:rPr>
        <w:t xml:space="preserve">The CEB’s reply to these questions envisaged extending the current car park towards the pavilion, </w:t>
      </w:r>
      <w:proofErr w:type="gramStart"/>
      <w:r w:rsidRPr="00E607E4">
        <w:rPr>
          <w:rFonts w:eastAsia="Calibri"/>
          <w:lang w:eastAsia="en-US"/>
        </w:rPr>
        <w:t>“  to</w:t>
      </w:r>
      <w:proofErr w:type="gramEnd"/>
      <w:r w:rsidRPr="00E607E4">
        <w:rPr>
          <w:rFonts w:eastAsia="Calibri"/>
          <w:lang w:eastAsia="en-US"/>
        </w:rPr>
        <w:t xml:space="preserve"> enlarge the public car park for recreation users and Direct Services employees and reduce parking </w:t>
      </w:r>
      <w:r>
        <w:rPr>
          <w:rFonts w:eastAsia="Calibri"/>
          <w:lang w:eastAsia="en-US"/>
        </w:rPr>
        <w:t>problems in the neighbourhood”.</w:t>
      </w:r>
    </w:p>
    <w:p w:rsidR="00E607E4" w:rsidRDefault="00E607E4" w:rsidP="00E607E4">
      <w:pPr>
        <w:rPr>
          <w:rFonts w:eastAsia="Calibri"/>
          <w:lang w:eastAsia="en-US"/>
        </w:rPr>
      </w:pPr>
      <w:r w:rsidRPr="00E607E4">
        <w:rPr>
          <w:rFonts w:eastAsia="Calibri"/>
          <w:lang w:eastAsia="en-US"/>
        </w:rPr>
        <w:t xml:space="preserve">I thought that the City Council’s policy was to encourage use of public transport rather than use of private cars, as seen in their attitude to housing developments with minimal parking, and travel to leisure facilities such as Blackbird Leys Pool. Why not encourage employees of Direct Services to use public transport, and leave </w:t>
      </w:r>
      <w:proofErr w:type="spellStart"/>
      <w:r w:rsidRPr="00E607E4">
        <w:rPr>
          <w:rFonts w:eastAsia="Calibri"/>
          <w:lang w:eastAsia="en-US"/>
        </w:rPr>
        <w:t>Cowley</w:t>
      </w:r>
      <w:proofErr w:type="spellEnd"/>
      <w:r w:rsidRPr="00E607E4">
        <w:rPr>
          <w:rFonts w:eastAsia="Calibri"/>
          <w:lang w:eastAsia="en-US"/>
        </w:rPr>
        <w:t xml:space="preserve"> Marsh Car Park (and on-street parking in the neighbouring streets</w:t>
      </w:r>
      <w:r w:rsidR="00371FD2" w:rsidRPr="00E607E4">
        <w:rPr>
          <w:rFonts w:eastAsia="Calibri"/>
          <w:lang w:eastAsia="en-US"/>
        </w:rPr>
        <w:t>) available</w:t>
      </w:r>
      <w:r w:rsidRPr="00E607E4">
        <w:rPr>
          <w:rFonts w:eastAsia="Calibri"/>
          <w:lang w:eastAsia="en-US"/>
        </w:rPr>
        <w:t xml:space="preserve"> for users of </w:t>
      </w:r>
      <w:proofErr w:type="spellStart"/>
      <w:r w:rsidRPr="00E607E4">
        <w:rPr>
          <w:rFonts w:eastAsia="Calibri"/>
          <w:lang w:eastAsia="en-US"/>
        </w:rPr>
        <w:t>Cowley</w:t>
      </w:r>
      <w:proofErr w:type="spellEnd"/>
      <w:r w:rsidRPr="00E607E4">
        <w:rPr>
          <w:rFonts w:eastAsia="Calibri"/>
          <w:lang w:eastAsia="en-US"/>
        </w:rPr>
        <w:t xml:space="preserve"> Marsh Park, without the need to expand the parking facilities? How, exactly, will the Council encourage such beha</w:t>
      </w:r>
      <w:bookmarkStart w:id="2" w:name="_GoBack"/>
      <w:bookmarkEnd w:id="2"/>
      <w:r w:rsidRPr="00E607E4">
        <w:rPr>
          <w:rFonts w:eastAsia="Calibri"/>
          <w:lang w:eastAsia="en-US"/>
        </w:rPr>
        <w:t>viour?</w:t>
      </w:r>
    </w:p>
    <w:p w:rsidR="00371FD2" w:rsidRDefault="00371FD2" w:rsidP="00E607E4">
      <w:pPr>
        <w:rPr>
          <w:rFonts w:eastAsia="Calibri"/>
          <w:lang w:eastAsia="en-US"/>
        </w:rPr>
      </w:pPr>
    </w:p>
    <w:p w:rsidR="00371FD2" w:rsidRPr="00163FAA" w:rsidRDefault="00371FD2" w:rsidP="00371FD2">
      <w:pPr>
        <w:rPr>
          <w:b/>
          <w:color w:val="auto"/>
          <w:u w:val="single"/>
        </w:rPr>
      </w:pPr>
      <w:r w:rsidRPr="00163FAA">
        <w:rPr>
          <w:b/>
          <w:color w:val="auto"/>
          <w:u w:val="single"/>
        </w:rPr>
        <w:t xml:space="preserve">Written Response from Councillor </w:t>
      </w:r>
      <w:r w:rsidR="00BF4F9D" w:rsidRPr="00163FAA">
        <w:rPr>
          <w:b/>
          <w:color w:val="auto"/>
          <w:u w:val="single"/>
        </w:rPr>
        <w:t>Turner</w:t>
      </w:r>
    </w:p>
    <w:p w:rsidR="00371FD2" w:rsidRPr="00163FAA" w:rsidRDefault="00371FD2" w:rsidP="00E607E4">
      <w:pPr>
        <w:rPr>
          <w:rFonts w:eastAsia="Calibri"/>
          <w:color w:val="auto"/>
          <w:lang w:eastAsia="en-US"/>
        </w:rPr>
      </w:pPr>
    </w:p>
    <w:p w:rsidR="00BF4F9D" w:rsidRPr="00163FAA" w:rsidRDefault="00BF4F9D" w:rsidP="00BF4F9D">
      <w:pPr>
        <w:rPr>
          <w:rFonts w:eastAsia="Calibri"/>
          <w:color w:val="auto"/>
          <w:lang w:eastAsia="en-US"/>
        </w:rPr>
      </w:pPr>
      <w:r w:rsidRPr="00163FAA">
        <w:rPr>
          <w:rFonts w:eastAsia="Calibri"/>
          <w:color w:val="auto"/>
          <w:lang w:eastAsia="en-US"/>
        </w:rPr>
        <w:t xml:space="preserve">The Council absolutely supports and encourages its staff to use public transport, cycling etc. To this extent, the number of staff cycle racks has doubled in the last 2 years at the </w:t>
      </w:r>
      <w:proofErr w:type="spellStart"/>
      <w:r w:rsidRPr="00163FAA">
        <w:rPr>
          <w:rFonts w:eastAsia="Calibri"/>
          <w:color w:val="auto"/>
          <w:lang w:eastAsia="en-US"/>
        </w:rPr>
        <w:t>Cowley</w:t>
      </w:r>
      <w:proofErr w:type="spellEnd"/>
      <w:r w:rsidRPr="00163FAA">
        <w:rPr>
          <w:rFonts w:eastAsia="Calibri"/>
          <w:color w:val="auto"/>
          <w:lang w:eastAsia="en-US"/>
        </w:rPr>
        <w:t xml:space="preserve"> Marsh Depot.</w:t>
      </w:r>
    </w:p>
    <w:p w:rsidR="00BF4F9D" w:rsidRPr="00163FAA" w:rsidRDefault="00BF4F9D" w:rsidP="00BF4F9D">
      <w:pPr>
        <w:rPr>
          <w:rFonts w:eastAsia="Calibri"/>
          <w:color w:val="auto"/>
          <w:lang w:eastAsia="en-US"/>
        </w:rPr>
      </w:pPr>
      <w:r w:rsidRPr="00163FAA">
        <w:rPr>
          <w:rFonts w:eastAsia="Calibri"/>
          <w:color w:val="auto"/>
          <w:lang w:eastAsia="en-US"/>
        </w:rPr>
        <w:t xml:space="preserve">Public transport is used by many staff, but shifts commence from 5.30am and bus services are not plentiful at this time of the day, particularly where route transfers are required for those who do not live within a short distance of the depot. </w:t>
      </w:r>
    </w:p>
    <w:p w:rsidR="00BF4F9D" w:rsidRPr="00163FAA" w:rsidRDefault="00BF4F9D" w:rsidP="00BF4F9D">
      <w:pPr>
        <w:rPr>
          <w:rFonts w:eastAsia="Calibri"/>
          <w:color w:val="auto"/>
          <w:lang w:eastAsia="en-US"/>
        </w:rPr>
      </w:pPr>
      <w:r w:rsidRPr="00163FAA">
        <w:rPr>
          <w:rFonts w:eastAsia="Calibri"/>
          <w:color w:val="auto"/>
          <w:lang w:eastAsia="en-US"/>
        </w:rPr>
        <w:t>It has not yet been decided whether to proceed with the proposed extension, the rationale for which would be to alleviate the impact of necessary staff parking upon local residents. Local residents will be kept informed as the matter is considered.</w:t>
      </w:r>
    </w:p>
    <w:p w:rsidR="00394680" w:rsidRPr="00163FAA" w:rsidRDefault="00394680" w:rsidP="00AC3946">
      <w:pPr>
        <w:spacing w:after="0"/>
        <w:rPr>
          <w:rFonts w:eastAsia="Calibri"/>
          <w:color w:val="auto"/>
          <w:lang w:eastAsia="en-US"/>
        </w:rPr>
      </w:pPr>
    </w:p>
    <w:sectPr w:rsidR="00394680" w:rsidRPr="00163FAA"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EF"/>
    <w:multiLevelType w:val="hybridMultilevel"/>
    <w:tmpl w:val="C3CE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4A6C"/>
    <w:multiLevelType w:val="hybridMultilevel"/>
    <w:tmpl w:val="9C78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0533D"/>
    <w:multiLevelType w:val="hybridMultilevel"/>
    <w:tmpl w:val="0592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F631E"/>
    <w:multiLevelType w:val="hybridMultilevel"/>
    <w:tmpl w:val="750EFA96"/>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E23FF"/>
    <w:multiLevelType w:val="hybridMultilevel"/>
    <w:tmpl w:val="F1469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7514F57"/>
    <w:multiLevelType w:val="hybridMultilevel"/>
    <w:tmpl w:val="04F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67501"/>
    <w:multiLevelType w:val="hybridMultilevel"/>
    <w:tmpl w:val="DBC2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D2D36"/>
    <w:multiLevelType w:val="hybridMultilevel"/>
    <w:tmpl w:val="6128B0C6"/>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4B4D45"/>
    <w:multiLevelType w:val="hybridMultilevel"/>
    <w:tmpl w:val="472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55266A"/>
    <w:multiLevelType w:val="hybridMultilevel"/>
    <w:tmpl w:val="452E544E"/>
    <w:lvl w:ilvl="0" w:tplc="0809000F">
      <w:start w:val="1"/>
      <w:numFmt w:val="decimal"/>
      <w:lvlText w:val="%1."/>
      <w:lvlJc w:val="left"/>
      <w:pPr>
        <w:ind w:left="360" w:hanging="360"/>
      </w:pPr>
    </w:lvl>
    <w:lvl w:ilvl="1" w:tplc="C55CDBFC">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1AA62B1"/>
    <w:multiLevelType w:val="hybridMultilevel"/>
    <w:tmpl w:val="E2B0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95C6F"/>
    <w:multiLevelType w:val="hybridMultilevel"/>
    <w:tmpl w:val="A128FAD8"/>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BC2E2F"/>
    <w:multiLevelType w:val="hybridMultilevel"/>
    <w:tmpl w:val="EA9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035C87"/>
    <w:multiLevelType w:val="hybridMultilevel"/>
    <w:tmpl w:val="DD2211FE"/>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5D463F"/>
    <w:multiLevelType w:val="hybridMultilevel"/>
    <w:tmpl w:val="69F8B68A"/>
    <w:lvl w:ilvl="0" w:tplc="74DA6DB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02057BA"/>
    <w:multiLevelType w:val="hybridMultilevel"/>
    <w:tmpl w:val="9006B6BE"/>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F53AC5"/>
    <w:multiLevelType w:val="hybridMultilevel"/>
    <w:tmpl w:val="CEAAF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A5A13F7"/>
    <w:multiLevelType w:val="hybridMultilevel"/>
    <w:tmpl w:val="723CF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D7B3333"/>
    <w:multiLevelType w:val="hybridMultilevel"/>
    <w:tmpl w:val="DB18D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2"/>
  </w:num>
  <w:num w:numId="3">
    <w:abstractNumId w:val="8"/>
  </w:num>
  <w:num w:numId="4">
    <w:abstractNumId w:val="2"/>
  </w:num>
  <w:num w:numId="5">
    <w:abstractNumId w:val="19"/>
  </w:num>
  <w:num w:numId="6">
    <w:abstractNumId w:val="13"/>
  </w:num>
  <w:num w:numId="7">
    <w:abstractNumId w:val="4"/>
  </w:num>
  <w:num w:numId="8">
    <w:abstractNumId w:val="9"/>
  </w:num>
  <w:num w:numId="9">
    <w:abstractNumId w:val="5"/>
  </w:num>
  <w:num w:numId="10">
    <w:abstractNumId w:val="10"/>
  </w:num>
  <w:num w:numId="11">
    <w:abstractNumId w:val="3"/>
  </w:num>
  <w:num w:numId="12">
    <w:abstractNumId w:val="16"/>
  </w:num>
  <w:num w:numId="13">
    <w:abstractNumId w:val="24"/>
  </w:num>
  <w:num w:numId="14">
    <w:abstractNumId w:val="7"/>
  </w:num>
  <w:num w:numId="15">
    <w:abstractNumId w:val="23"/>
  </w:num>
  <w:num w:numId="16">
    <w:abstractNumId w:val="18"/>
  </w:num>
  <w:num w:numId="17">
    <w:abstractNumId w:val="12"/>
  </w:num>
  <w:num w:numId="18">
    <w:abstractNumId w:val="17"/>
  </w:num>
  <w:num w:numId="19">
    <w:abstractNumId w:val="20"/>
  </w:num>
  <w:num w:numId="20">
    <w:abstractNumId w:val="14"/>
  </w:num>
  <w:num w:numId="21">
    <w:abstractNumId w:val="15"/>
  </w:num>
  <w:num w:numId="22">
    <w:abstractNumId w:val="6"/>
  </w:num>
  <w:num w:numId="23">
    <w:abstractNumId w:val="11"/>
  </w:num>
  <w:num w:numId="24">
    <w:abstractNumId w:val="21"/>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3B0"/>
    <w:rsid w:val="00066510"/>
    <w:rsid w:val="0007364C"/>
    <w:rsid w:val="00077523"/>
    <w:rsid w:val="00081992"/>
    <w:rsid w:val="00087DD2"/>
    <w:rsid w:val="00091FB0"/>
    <w:rsid w:val="000C089F"/>
    <w:rsid w:val="000C3928"/>
    <w:rsid w:val="000C5E8E"/>
    <w:rsid w:val="000D1EB6"/>
    <w:rsid w:val="000E2DD7"/>
    <w:rsid w:val="000E6931"/>
    <w:rsid w:val="000F6CD9"/>
    <w:rsid w:val="0010524C"/>
    <w:rsid w:val="00111FB1"/>
    <w:rsid w:val="00113418"/>
    <w:rsid w:val="0011346E"/>
    <w:rsid w:val="00124054"/>
    <w:rsid w:val="00136994"/>
    <w:rsid w:val="00137E73"/>
    <w:rsid w:val="00140F40"/>
    <w:rsid w:val="0014128E"/>
    <w:rsid w:val="00141E29"/>
    <w:rsid w:val="00150319"/>
    <w:rsid w:val="00151888"/>
    <w:rsid w:val="00163FAA"/>
    <w:rsid w:val="00170A2D"/>
    <w:rsid w:val="001808BC"/>
    <w:rsid w:val="00182B81"/>
    <w:rsid w:val="001A011E"/>
    <w:rsid w:val="001A066A"/>
    <w:rsid w:val="001A13E6"/>
    <w:rsid w:val="001A5731"/>
    <w:rsid w:val="001A73D9"/>
    <w:rsid w:val="001B42C3"/>
    <w:rsid w:val="001C5D5E"/>
    <w:rsid w:val="001E03F8"/>
    <w:rsid w:val="001E3376"/>
    <w:rsid w:val="001E4D46"/>
    <w:rsid w:val="00205DFD"/>
    <w:rsid w:val="00230211"/>
    <w:rsid w:val="002329CF"/>
    <w:rsid w:val="00232F5B"/>
    <w:rsid w:val="00257B9C"/>
    <w:rsid w:val="00260467"/>
    <w:rsid w:val="00262D81"/>
    <w:rsid w:val="002762C1"/>
    <w:rsid w:val="00284F85"/>
    <w:rsid w:val="002901F3"/>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426"/>
    <w:rsid w:val="0036759C"/>
    <w:rsid w:val="00367AE5"/>
    <w:rsid w:val="00367D71"/>
    <w:rsid w:val="00370A13"/>
    <w:rsid w:val="00371FD2"/>
    <w:rsid w:val="0038150A"/>
    <w:rsid w:val="00394680"/>
    <w:rsid w:val="003A21C9"/>
    <w:rsid w:val="003B6E75"/>
    <w:rsid w:val="003C5B39"/>
    <w:rsid w:val="003D0379"/>
    <w:rsid w:val="003D2574"/>
    <w:rsid w:val="003F0EB8"/>
    <w:rsid w:val="003F4267"/>
    <w:rsid w:val="00404032"/>
    <w:rsid w:val="0040736F"/>
    <w:rsid w:val="0041097C"/>
    <w:rsid w:val="00412C1F"/>
    <w:rsid w:val="00421CB2"/>
    <w:rsid w:val="00433B96"/>
    <w:rsid w:val="004440F1"/>
    <w:rsid w:val="00446CDF"/>
    <w:rsid w:val="004521B7"/>
    <w:rsid w:val="00462AB5"/>
    <w:rsid w:val="00465EAF"/>
    <w:rsid w:val="00481932"/>
    <w:rsid w:val="00491046"/>
    <w:rsid w:val="004A2AC7"/>
    <w:rsid w:val="004A6D2F"/>
    <w:rsid w:val="004C2887"/>
    <w:rsid w:val="004D2626"/>
    <w:rsid w:val="004D6E26"/>
    <w:rsid w:val="004D77D3"/>
    <w:rsid w:val="004E591F"/>
    <w:rsid w:val="004F1112"/>
    <w:rsid w:val="004F20EF"/>
    <w:rsid w:val="0050321C"/>
    <w:rsid w:val="00547EF6"/>
    <w:rsid w:val="005558A6"/>
    <w:rsid w:val="00562415"/>
    <w:rsid w:val="00562804"/>
    <w:rsid w:val="00567E18"/>
    <w:rsid w:val="00575F5F"/>
    <w:rsid w:val="00585F76"/>
    <w:rsid w:val="005A34E4"/>
    <w:rsid w:val="005B17E8"/>
    <w:rsid w:val="005B7FB0"/>
    <w:rsid w:val="005C35A5"/>
    <w:rsid w:val="005C577C"/>
    <w:rsid w:val="005D1E27"/>
    <w:rsid w:val="005E022E"/>
    <w:rsid w:val="005E5215"/>
    <w:rsid w:val="005F0F05"/>
    <w:rsid w:val="005F7F7E"/>
    <w:rsid w:val="005F7F8A"/>
    <w:rsid w:val="00614693"/>
    <w:rsid w:val="006165BE"/>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D77CE"/>
    <w:rsid w:val="006E14C1"/>
    <w:rsid w:val="006E25C0"/>
    <w:rsid w:val="006F0292"/>
    <w:rsid w:val="006F0814"/>
    <w:rsid w:val="006F416B"/>
    <w:rsid w:val="006F519B"/>
    <w:rsid w:val="00713675"/>
    <w:rsid w:val="00715823"/>
    <w:rsid w:val="007349AD"/>
    <w:rsid w:val="00737B93"/>
    <w:rsid w:val="00754013"/>
    <w:rsid w:val="00761EE3"/>
    <w:rsid w:val="0076655C"/>
    <w:rsid w:val="00790CAD"/>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F573F"/>
    <w:rsid w:val="008F733C"/>
    <w:rsid w:val="009034EC"/>
    <w:rsid w:val="009057B9"/>
    <w:rsid w:val="009238E3"/>
    <w:rsid w:val="00925E1B"/>
    <w:rsid w:val="0093067A"/>
    <w:rsid w:val="00954A84"/>
    <w:rsid w:val="00966D42"/>
    <w:rsid w:val="00971689"/>
    <w:rsid w:val="00973E90"/>
    <w:rsid w:val="00975B07"/>
    <w:rsid w:val="00980B4A"/>
    <w:rsid w:val="00982209"/>
    <w:rsid w:val="009B146F"/>
    <w:rsid w:val="009B1C7A"/>
    <w:rsid w:val="009B6C08"/>
    <w:rsid w:val="009C7E2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B2988"/>
    <w:rsid w:val="00AB7999"/>
    <w:rsid w:val="00AC3946"/>
    <w:rsid w:val="00AD3292"/>
    <w:rsid w:val="00AE7AF0"/>
    <w:rsid w:val="00AF5425"/>
    <w:rsid w:val="00B03A7A"/>
    <w:rsid w:val="00B10272"/>
    <w:rsid w:val="00B17611"/>
    <w:rsid w:val="00B22768"/>
    <w:rsid w:val="00B500CA"/>
    <w:rsid w:val="00B52144"/>
    <w:rsid w:val="00B647C6"/>
    <w:rsid w:val="00B666ED"/>
    <w:rsid w:val="00B66A97"/>
    <w:rsid w:val="00B8468F"/>
    <w:rsid w:val="00B854B2"/>
    <w:rsid w:val="00B86314"/>
    <w:rsid w:val="00BA1C2E"/>
    <w:rsid w:val="00BC4756"/>
    <w:rsid w:val="00BC69A4"/>
    <w:rsid w:val="00BD3389"/>
    <w:rsid w:val="00BE0680"/>
    <w:rsid w:val="00BE305F"/>
    <w:rsid w:val="00BE7BA3"/>
    <w:rsid w:val="00BF063E"/>
    <w:rsid w:val="00BF4F9D"/>
    <w:rsid w:val="00BF5682"/>
    <w:rsid w:val="00BF7B09"/>
    <w:rsid w:val="00C20A95"/>
    <w:rsid w:val="00C2692F"/>
    <w:rsid w:val="00C357A6"/>
    <w:rsid w:val="00C400E1"/>
    <w:rsid w:val="00C41187"/>
    <w:rsid w:val="00C500B0"/>
    <w:rsid w:val="00C541B6"/>
    <w:rsid w:val="00C601E0"/>
    <w:rsid w:val="00C63C31"/>
    <w:rsid w:val="00C757A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43A6"/>
    <w:rsid w:val="00E60479"/>
    <w:rsid w:val="00E607E4"/>
    <w:rsid w:val="00E60A27"/>
    <w:rsid w:val="00E61D73"/>
    <w:rsid w:val="00E73684"/>
    <w:rsid w:val="00E818D6"/>
    <w:rsid w:val="00E827D4"/>
    <w:rsid w:val="00E96BD7"/>
    <w:rsid w:val="00EA0DB1"/>
    <w:rsid w:val="00EA0EE9"/>
    <w:rsid w:val="00ED52CA"/>
    <w:rsid w:val="00ED5609"/>
    <w:rsid w:val="00ED5860"/>
    <w:rsid w:val="00EE35C9"/>
    <w:rsid w:val="00F05ECA"/>
    <w:rsid w:val="00F23903"/>
    <w:rsid w:val="00F3566E"/>
    <w:rsid w:val="00F375FB"/>
    <w:rsid w:val="00F41AC1"/>
    <w:rsid w:val="00F4367A"/>
    <w:rsid w:val="00F445B1"/>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3A77"/>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character" w:customStyle="1" w:styleId="xapple-tab-span">
    <w:name w:val="x_apple-tab-span"/>
    <w:basedOn w:val="DefaultParagraphFont"/>
    <w:rsid w:val="00290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character" w:customStyle="1" w:styleId="xapple-tab-span">
    <w:name w:val="x_apple-tab-span"/>
    <w:basedOn w:val="DefaultParagraphFont"/>
    <w:rsid w:val="0029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3001589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82450381">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3650996">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7083294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DDF8-2EE4-4942-9EC2-61ECE29F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454E297E</Template>
  <TotalTime>3</TotalTime>
  <Pages>2</Pages>
  <Words>738</Words>
  <Characters>3797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4526</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2016-07-20T09:47:00Z</cp:lastPrinted>
  <dcterms:created xsi:type="dcterms:W3CDTF">2016-07-21T15:15:00Z</dcterms:created>
  <dcterms:modified xsi:type="dcterms:W3CDTF">2016-07-21T15:18:00Z</dcterms:modified>
</cp:coreProperties>
</file>